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C01FB1" w14:textId="690A242C" w:rsidR="005216E7" w:rsidRDefault="005216E7" w:rsidP="00061BA4">
      <w:pPr>
        <w:spacing w:after="0" w:line="240" w:lineRule="auto"/>
      </w:pPr>
      <w:r>
        <w:rPr>
          <w:noProof/>
        </w:rPr>
        <mc:AlternateContent>
          <mc:Choice Requires="wps">
            <w:drawing>
              <wp:anchor distT="45720" distB="45720" distL="114300" distR="114300" simplePos="0" relativeHeight="251659264" behindDoc="0" locked="0" layoutInCell="1" allowOverlap="1" wp14:anchorId="451A896C" wp14:editId="48F3F58C">
                <wp:simplePos x="0" y="0"/>
                <wp:positionH relativeFrom="column">
                  <wp:posOffset>2714625</wp:posOffset>
                </wp:positionH>
                <wp:positionV relativeFrom="paragraph">
                  <wp:posOffset>9525</wp:posOffset>
                </wp:positionV>
                <wp:extent cx="3974465" cy="400050"/>
                <wp:effectExtent l="0" t="0" r="26035" b="19050"/>
                <wp:wrapSquare wrapText="bothSides"/>
                <wp:docPr id="17398905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4465" cy="400050"/>
                        </a:xfrm>
                        <a:prstGeom prst="rect">
                          <a:avLst/>
                        </a:prstGeom>
                        <a:solidFill>
                          <a:srgbClr val="FFFFFF"/>
                        </a:solidFill>
                        <a:ln w="9525">
                          <a:solidFill>
                            <a:srgbClr val="FFFFFF"/>
                          </a:solidFill>
                          <a:miter lim="800000"/>
                          <a:headEnd/>
                          <a:tailEnd/>
                        </a:ln>
                      </wps:spPr>
                      <wps:txbx>
                        <w:txbxContent>
                          <w:p w14:paraId="598E55A0" w14:textId="1F2DB839" w:rsidR="005216E7" w:rsidRPr="00B67268" w:rsidRDefault="00C00457" w:rsidP="00B67268">
                            <w:pPr>
                              <w:widowControl w:val="0"/>
                              <w:spacing w:after="200" w:line="276" w:lineRule="auto"/>
                              <w:rPr>
                                <w:b/>
                                <w:bCs/>
                                <w:color w:val="2F5496"/>
                                <w:sz w:val="28"/>
                                <w:szCs w:val="28"/>
                              </w:rPr>
                            </w:pPr>
                            <w:r>
                              <w:rPr>
                                <w:b/>
                                <w:bCs/>
                                <w:color w:val="2F5496"/>
                                <w:sz w:val="28"/>
                                <w:szCs w:val="28"/>
                              </w:rPr>
                              <w:t xml:space="preserve">6. </w:t>
                            </w:r>
                            <w:r w:rsidR="005216E7" w:rsidRPr="00B67268">
                              <w:rPr>
                                <w:b/>
                                <w:bCs/>
                                <w:color w:val="2F5496"/>
                                <w:sz w:val="28"/>
                                <w:szCs w:val="28"/>
                              </w:rPr>
                              <w:t>AAO-HNS Election</w:t>
                            </w:r>
                            <w:r w:rsidR="005012D4">
                              <w:rPr>
                                <w:b/>
                                <w:bCs/>
                                <w:color w:val="2F5496"/>
                                <w:sz w:val="28"/>
                                <w:szCs w:val="28"/>
                              </w:rPr>
                              <w:t xml:space="preserve"> and </w:t>
                            </w:r>
                            <w:r w:rsidR="005216E7" w:rsidRPr="00B67268">
                              <w:rPr>
                                <w:b/>
                                <w:bCs/>
                                <w:color w:val="2F5496"/>
                                <w:sz w:val="28"/>
                                <w:szCs w:val="28"/>
                              </w:rPr>
                              <w:t>Campaign</w:t>
                            </w:r>
                            <w:r>
                              <w:rPr>
                                <w:b/>
                                <w:bCs/>
                                <w:color w:val="2F5496"/>
                                <w:sz w:val="28"/>
                                <w:szCs w:val="28"/>
                              </w:rPr>
                              <w:t xml:space="preserve">ing </w:t>
                            </w:r>
                            <w:r w:rsidR="005216E7" w:rsidRPr="00B67268">
                              <w:rPr>
                                <w:b/>
                                <w:bCs/>
                                <w:color w:val="2F5496"/>
                                <w:sz w:val="28"/>
                                <w:szCs w:val="28"/>
                              </w:rPr>
                              <w:t>Guidelines</w:t>
                            </w:r>
                          </w:p>
                          <w:p w14:paraId="4477BFAE" w14:textId="77777777" w:rsidR="005216E7" w:rsidRDefault="005216E7" w:rsidP="005216E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51A896C" id="_x0000_t202" coordsize="21600,21600" o:spt="202" path="m,l,21600r21600,l21600,xe">
                <v:stroke joinstyle="miter"/>
                <v:path gradientshapeok="t" o:connecttype="rect"/>
              </v:shapetype>
              <v:shape id="Text Box 2" o:spid="_x0000_s1026" type="#_x0000_t202" style="position:absolute;margin-left:213.75pt;margin-top:.75pt;width:312.95pt;height:3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VT0EwIAACsEAAAOAAAAZHJzL2Uyb0RvYy54bWysU9tu2zAMfR+wfxD0vtjJkrYx4hRdugwD&#10;ugvQ7QMUWY6FyaJGKbGzrx8lu2nQvRXzgyCa1CF5eLi67VvDjgq9Blvy6STnTFkJlbb7kv/8sX13&#10;w5kPwlbCgFUlPynPb9dv36w6V6gZNGAqhYxArC86V/ImBFdkmZeNaoWfgFOWnDVgKwKZuM8qFB2h&#10;tyab5flV1gFWDkEq7+nv/eDk64Rf10qGb3XtVWCm5FRbSCemcxfPbL0SxR6Fa7QcyxCvqKIV2lLS&#10;M9S9CIIdUP8D1WqJ4KEOEwltBnWtpUo9UDfT/EU3j41wKvVC5Hh3psn/P1j59fjoviML/QfoaYCp&#10;Ce8eQP7yzMKmEXav7hCha5SoKPE0UpZ1zhfj00i1L3wE2XVfoKIhi0OABNTX2EZWqE9G6DSA05l0&#10;1Qcm6ef75fV8frXgTJJvnuf5Ik0lE8XTa4c+fFLQsngpOdJQE7o4PvgQqxHFU0hM5sHoaquNSQbu&#10;dxuD7ChIANv0pQZehBnLupIvF7PFQMArIFodSMlGtyW/oS7yUVuRto+2SjoLQpvhTiUbO/IYqRtI&#10;DP2up8DI5w6qEzGKMCiWNowuDeAfzjpSa8n974NAxZn5bGkqy+l8HuWdjPniekYGXnp2lx5hJUGV&#10;PHA2XDdhWImDQ71vKNOgAwt3NMlaJ5KfqxrrJkUm7sftiZK/tFPU846v/wIAAP//AwBQSwMEFAAG&#10;AAgAAAAhAIxrKPbdAAAACQEAAA8AAABkcnMvZG93bnJldi54bWxMj8FOwzAMhu9IvENkJC6IJZR2&#10;oNJ0miYQ5w0u3LLGaysap22ytePp8U5wsqzv1+/PxWp2nTjhGFpPGh4WCgRS5W1LtYbPj7f7ZxAh&#10;GrKm84QazhhgVV5fFSa3fqItnnaxFlxCITcamhj7XMpQNehMWPgeidnBj85EXsda2tFMXO46mSi1&#10;lM60xBca0+Omwep7d3Qa/PR6dh4Hldx9/bj3zXrYHpJB69ubef0CIuIc/8Jw0Wd1KNlp749kg+g0&#10;pMlTxlEGPC5cZY8piL2GZZqBLAv5/4PyFwAA//8DAFBLAQItABQABgAIAAAAIQC2gziS/gAAAOEB&#10;AAATAAAAAAAAAAAAAAAAAAAAAABbQ29udGVudF9UeXBlc10ueG1sUEsBAi0AFAAGAAgAAAAhADj9&#10;If/WAAAAlAEAAAsAAAAAAAAAAAAAAAAALwEAAF9yZWxzLy5yZWxzUEsBAi0AFAAGAAgAAAAhAHyh&#10;VPQTAgAAKwQAAA4AAAAAAAAAAAAAAAAALgIAAGRycy9lMm9Eb2MueG1sUEsBAi0AFAAGAAgAAAAh&#10;AIxrKPbdAAAACQEAAA8AAAAAAAAAAAAAAAAAbQQAAGRycy9kb3ducmV2LnhtbFBLBQYAAAAABAAE&#10;APMAAAB3BQAAAAA=&#10;" strokecolor="white">
                <v:textbox>
                  <w:txbxContent>
                    <w:p w14:paraId="598E55A0" w14:textId="1F2DB839" w:rsidR="005216E7" w:rsidRPr="00B67268" w:rsidRDefault="00C00457" w:rsidP="00B67268">
                      <w:pPr>
                        <w:widowControl w:val="0"/>
                        <w:spacing w:after="200" w:line="276" w:lineRule="auto"/>
                        <w:rPr>
                          <w:b/>
                          <w:bCs/>
                          <w:color w:val="2F5496"/>
                          <w:sz w:val="28"/>
                          <w:szCs w:val="28"/>
                        </w:rPr>
                      </w:pPr>
                      <w:r>
                        <w:rPr>
                          <w:b/>
                          <w:bCs/>
                          <w:color w:val="2F5496"/>
                          <w:sz w:val="28"/>
                          <w:szCs w:val="28"/>
                        </w:rPr>
                        <w:t xml:space="preserve">6. </w:t>
                      </w:r>
                      <w:r w:rsidR="005216E7" w:rsidRPr="00B67268">
                        <w:rPr>
                          <w:b/>
                          <w:bCs/>
                          <w:color w:val="2F5496"/>
                          <w:sz w:val="28"/>
                          <w:szCs w:val="28"/>
                        </w:rPr>
                        <w:t>AAO-HNS Election</w:t>
                      </w:r>
                      <w:r w:rsidR="005012D4">
                        <w:rPr>
                          <w:b/>
                          <w:bCs/>
                          <w:color w:val="2F5496"/>
                          <w:sz w:val="28"/>
                          <w:szCs w:val="28"/>
                        </w:rPr>
                        <w:t xml:space="preserve"> and </w:t>
                      </w:r>
                      <w:r w:rsidR="005216E7" w:rsidRPr="00B67268">
                        <w:rPr>
                          <w:b/>
                          <w:bCs/>
                          <w:color w:val="2F5496"/>
                          <w:sz w:val="28"/>
                          <w:szCs w:val="28"/>
                        </w:rPr>
                        <w:t>Campaign</w:t>
                      </w:r>
                      <w:r>
                        <w:rPr>
                          <w:b/>
                          <w:bCs/>
                          <w:color w:val="2F5496"/>
                          <w:sz w:val="28"/>
                          <w:szCs w:val="28"/>
                        </w:rPr>
                        <w:t xml:space="preserve">ing </w:t>
                      </w:r>
                      <w:r w:rsidR="005216E7" w:rsidRPr="00B67268">
                        <w:rPr>
                          <w:b/>
                          <w:bCs/>
                          <w:color w:val="2F5496"/>
                          <w:sz w:val="28"/>
                          <w:szCs w:val="28"/>
                        </w:rPr>
                        <w:t>Guidelines</w:t>
                      </w:r>
                    </w:p>
                    <w:p w14:paraId="4477BFAE" w14:textId="77777777" w:rsidR="005216E7" w:rsidRDefault="005216E7" w:rsidP="005216E7"/>
                  </w:txbxContent>
                </v:textbox>
                <w10:wrap type="square"/>
              </v:shape>
            </w:pict>
          </mc:Fallback>
        </mc:AlternateContent>
      </w:r>
      <w:r w:rsidRPr="00E8727B">
        <w:rPr>
          <w:noProof/>
        </w:rPr>
        <w:drawing>
          <wp:inline distT="0" distB="0" distL="0" distR="0" wp14:anchorId="0D29354B" wp14:editId="00EE41D6">
            <wp:extent cx="1981200" cy="466725"/>
            <wp:effectExtent l="0" t="0" r="0" b="9525"/>
            <wp:docPr id="1671114553" name="Picture 1" descr="A close up of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1114553" name="Picture 1" descr="A close up of red text&#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81200" cy="466725"/>
                    </a:xfrm>
                    <a:prstGeom prst="rect">
                      <a:avLst/>
                    </a:prstGeom>
                    <a:noFill/>
                    <a:ln>
                      <a:noFill/>
                    </a:ln>
                  </pic:spPr>
                </pic:pic>
              </a:graphicData>
            </a:graphic>
          </wp:inline>
        </w:drawing>
      </w:r>
    </w:p>
    <w:p w14:paraId="05458156" w14:textId="77777777" w:rsidR="005216E7" w:rsidRDefault="005216E7" w:rsidP="00061BA4">
      <w:pPr>
        <w:spacing w:after="0" w:line="240" w:lineRule="auto"/>
      </w:pPr>
    </w:p>
    <w:p w14:paraId="72EBC6FD" w14:textId="77777777" w:rsidR="005216E7" w:rsidRDefault="005216E7" w:rsidP="00061BA4">
      <w:pPr>
        <w:spacing w:after="0" w:line="240" w:lineRule="auto"/>
      </w:pPr>
    </w:p>
    <w:p w14:paraId="1FA85C38" w14:textId="77777777" w:rsidR="005216E7" w:rsidRDefault="005216E7" w:rsidP="00061BA4">
      <w:pPr>
        <w:spacing w:after="0" w:line="240" w:lineRule="auto"/>
      </w:pPr>
    </w:p>
    <w:p w14:paraId="1BDF0C3E" w14:textId="518CBFD6" w:rsidR="00061BA4" w:rsidRPr="005216E7" w:rsidRDefault="00061BA4" w:rsidP="00061BA4">
      <w:pPr>
        <w:spacing w:after="0" w:line="240" w:lineRule="auto"/>
      </w:pPr>
      <w:r w:rsidRPr="005216E7">
        <w:t>The American Academy of Otolaryngology</w:t>
      </w:r>
      <w:r w:rsidR="007E1A9A" w:rsidRPr="005216E7">
        <w:t>–</w:t>
      </w:r>
      <w:r w:rsidRPr="005216E7">
        <w:t>Head and Neck Surgery and its Foundation (“Academy”)</w:t>
      </w:r>
    </w:p>
    <w:p w14:paraId="56E556C7" w14:textId="77777777" w:rsidR="00061BA4" w:rsidRPr="005216E7" w:rsidRDefault="00061BA4" w:rsidP="00061BA4">
      <w:pPr>
        <w:spacing w:after="0" w:line="240" w:lineRule="auto"/>
      </w:pPr>
      <w:r w:rsidRPr="005216E7">
        <w:t>support an election process that nominates a slate of outstanding candidates, each of whom has the</w:t>
      </w:r>
    </w:p>
    <w:p w14:paraId="572684E1" w14:textId="07773520" w:rsidR="00061BA4" w:rsidRPr="005216E7" w:rsidRDefault="00061BA4" w:rsidP="00211311">
      <w:pPr>
        <w:spacing w:after="0" w:line="240" w:lineRule="auto"/>
      </w:pPr>
      <w:r w:rsidRPr="005216E7">
        <w:t>potential to lead the society in alignment with the Strategic Plan. The Academy provides all candidates</w:t>
      </w:r>
      <w:r w:rsidR="00E13B29" w:rsidRPr="005216E7">
        <w:t xml:space="preserve"> with </w:t>
      </w:r>
      <w:r w:rsidR="00D32780" w:rsidRPr="005216E7">
        <w:t xml:space="preserve">equal opportunities to state their experience </w:t>
      </w:r>
      <w:r w:rsidRPr="005216E7">
        <w:t xml:space="preserve">fulfilling that fiduciary role. </w:t>
      </w:r>
    </w:p>
    <w:p w14:paraId="356D6C24" w14:textId="41DA7200" w:rsidR="00061BA4" w:rsidRPr="005216E7" w:rsidRDefault="00061BA4" w:rsidP="00061BA4">
      <w:pPr>
        <w:spacing w:after="0" w:line="240" w:lineRule="auto"/>
      </w:pPr>
    </w:p>
    <w:p w14:paraId="2849D0E7" w14:textId="3CAA465E" w:rsidR="00211311" w:rsidRPr="005216E7" w:rsidRDefault="00211311" w:rsidP="00211311">
      <w:pPr>
        <w:spacing w:after="0" w:line="240" w:lineRule="auto"/>
      </w:pPr>
      <w:r w:rsidRPr="005216E7">
        <w:t>The AAO-HNS will share</w:t>
      </w:r>
      <w:r w:rsidR="005F4726" w:rsidRPr="005216E7">
        <w:t xml:space="preserve"> candidate submitted</w:t>
      </w:r>
      <w:r w:rsidRPr="005216E7">
        <w:t xml:space="preserve"> information concerning all candidates running for elected positions and provide an appropriate venue to introduce candidates in an equitable manner to the AAO-HNS membership. The rationale is to foster </w:t>
      </w:r>
      <w:r w:rsidR="00156CCE" w:rsidRPr="005216E7">
        <w:t xml:space="preserve">the </w:t>
      </w:r>
      <w:r w:rsidRPr="005216E7">
        <w:t>election of the most qualified candidate for office</w:t>
      </w:r>
      <w:r w:rsidR="00CE2D7C" w:rsidRPr="005216E7">
        <w:t xml:space="preserve"> </w:t>
      </w:r>
      <w:r w:rsidRPr="005216E7">
        <w:t xml:space="preserve">rather than </w:t>
      </w:r>
      <w:r w:rsidR="005F4726" w:rsidRPr="005216E7">
        <w:t>their</w:t>
      </w:r>
      <w:r w:rsidRPr="005216E7">
        <w:t xml:space="preserve"> campaigning efforts or style.</w:t>
      </w:r>
    </w:p>
    <w:p w14:paraId="2849FF11" w14:textId="77777777" w:rsidR="00211311" w:rsidRPr="005216E7" w:rsidRDefault="00211311" w:rsidP="00061BA4">
      <w:pPr>
        <w:spacing w:after="0" w:line="240" w:lineRule="auto"/>
      </w:pPr>
    </w:p>
    <w:p w14:paraId="7BC49BD4" w14:textId="64741CC1" w:rsidR="00061BA4" w:rsidRPr="005216E7" w:rsidRDefault="00061BA4" w:rsidP="00061BA4">
      <w:pPr>
        <w:spacing w:after="0" w:line="240" w:lineRule="auto"/>
      </w:pPr>
      <w:r w:rsidRPr="005216E7">
        <w:t xml:space="preserve">It is a violation of Academy policy for candidates for office to engage in </w:t>
      </w:r>
      <w:r w:rsidR="00211311" w:rsidRPr="005216E7">
        <w:t xml:space="preserve">certain </w:t>
      </w:r>
      <w:r w:rsidRPr="005216E7">
        <w:t>campaigning</w:t>
      </w:r>
      <w:r w:rsidR="00211311" w:rsidRPr="005216E7">
        <w:t xml:space="preserve"> activities</w:t>
      </w:r>
      <w:r w:rsidRPr="005216E7">
        <w:t>.</w:t>
      </w:r>
    </w:p>
    <w:p w14:paraId="01DDAF9E" w14:textId="6F198B61" w:rsidR="00061BA4" w:rsidRPr="005216E7" w:rsidRDefault="00061BA4" w:rsidP="00061BA4">
      <w:pPr>
        <w:spacing w:after="0" w:line="240" w:lineRule="auto"/>
      </w:pPr>
      <w:r w:rsidRPr="005216E7">
        <w:t xml:space="preserve">Candidates are also prohibited from asking others to campaign on their behalf. A candidate who </w:t>
      </w:r>
      <w:r w:rsidR="00211311" w:rsidRPr="005216E7">
        <w:t>violates these rules</w:t>
      </w:r>
      <w:r w:rsidRPr="005216E7">
        <w:t xml:space="preserve"> will be immediately investigated with the possibility of</w:t>
      </w:r>
      <w:r w:rsidR="00211311" w:rsidRPr="005216E7">
        <w:t xml:space="preserve"> </w:t>
      </w:r>
      <w:r w:rsidRPr="005216E7">
        <w:t>disqualification.</w:t>
      </w:r>
    </w:p>
    <w:p w14:paraId="0F2D6AF1" w14:textId="77777777" w:rsidR="00061BA4" w:rsidRPr="005216E7" w:rsidRDefault="00061BA4" w:rsidP="00061BA4">
      <w:pPr>
        <w:spacing w:after="0" w:line="240" w:lineRule="auto"/>
      </w:pPr>
    </w:p>
    <w:p w14:paraId="57EF5FFC" w14:textId="6B5A56A4" w:rsidR="00061BA4" w:rsidRPr="005216E7" w:rsidRDefault="00061BA4" w:rsidP="00061BA4">
      <w:pPr>
        <w:spacing w:after="0" w:line="240" w:lineRule="auto"/>
      </w:pPr>
      <w:r w:rsidRPr="005216E7">
        <w:t>An Ad Hoc Task Force for Election Oversight is charged with developing and maintaining these</w:t>
      </w:r>
      <w:r w:rsidR="00CE2D7C" w:rsidRPr="005216E7">
        <w:t xml:space="preserve"> </w:t>
      </w:r>
      <w:r w:rsidRPr="005216E7">
        <w:t>guidelines. This body oversees the adjudication process for election violations. The Task Force comprises, at a minimum, the Academy President, President</w:t>
      </w:r>
      <w:r w:rsidR="00CE2D7C" w:rsidRPr="005216E7">
        <w:t>-</w:t>
      </w:r>
      <w:r w:rsidR="00576530" w:rsidRPr="005216E7">
        <w:t>e</w:t>
      </w:r>
      <w:r w:rsidRPr="005216E7">
        <w:t>lect, Immediate Past President (</w:t>
      </w:r>
      <w:r w:rsidR="005F4726" w:rsidRPr="005216E7">
        <w:t xml:space="preserve">Chair of the Nominating Committee, </w:t>
      </w:r>
      <w:r w:rsidRPr="005216E7">
        <w:t>who will serve as the Chair), Chair of the Ethics Committee, and the</w:t>
      </w:r>
      <w:r w:rsidR="00CE2D7C" w:rsidRPr="005216E7">
        <w:t xml:space="preserve"> </w:t>
      </w:r>
      <w:r w:rsidRPr="005216E7">
        <w:t>EVP/CEO.</w:t>
      </w:r>
    </w:p>
    <w:p w14:paraId="42D3E40D" w14:textId="77777777" w:rsidR="00061BA4" w:rsidRPr="005216E7" w:rsidRDefault="00061BA4" w:rsidP="00061BA4">
      <w:pPr>
        <w:spacing w:after="0" w:line="240" w:lineRule="auto"/>
      </w:pPr>
    </w:p>
    <w:p w14:paraId="15422D6D" w14:textId="5C6C53B3" w:rsidR="00061BA4" w:rsidRPr="005216E7" w:rsidRDefault="00061BA4" w:rsidP="00061BA4">
      <w:pPr>
        <w:spacing w:after="0" w:line="240" w:lineRule="auto"/>
        <w:rPr>
          <w:b/>
          <w:bCs/>
        </w:rPr>
      </w:pPr>
      <w:r w:rsidRPr="005216E7">
        <w:rPr>
          <w:b/>
          <w:bCs/>
        </w:rPr>
        <w:t>Authorized Election Communication Activities by Slated Candidates</w:t>
      </w:r>
    </w:p>
    <w:p w14:paraId="26D57123" w14:textId="77777777" w:rsidR="00061BA4" w:rsidRPr="005216E7" w:rsidRDefault="00061BA4" w:rsidP="00061BA4">
      <w:pPr>
        <w:spacing w:after="0" w:line="240" w:lineRule="auto"/>
      </w:pPr>
      <w:r w:rsidRPr="005216E7">
        <w:t>a. Official Statement</w:t>
      </w:r>
    </w:p>
    <w:p w14:paraId="65620A94" w14:textId="76B921CF" w:rsidR="00061BA4" w:rsidRPr="005216E7" w:rsidRDefault="00061BA4" w:rsidP="00061BA4">
      <w:pPr>
        <w:spacing w:after="0" w:line="240" w:lineRule="auto"/>
      </w:pPr>
      <w:r w:rsidRPr="005216E7">
        <w:t>Each candidate is required to submit to the Academy an official candidate statement authored by the</w:t>
      </w:r>
    </w:p>
    <w:p w14:paraId="7D3CB8D0" w14:textId="52249E5B" w:rsidR="00061BA4" w:rsidRPr="005216E7" w:rsidRDefault="00061BA4" w:rsidP="00061BA4">
      <w:pPr>
        <w:spacing w:after="0" w:line="240" w:lineRule="auto"/>
      </w:pPr>
      <w:r w:rsidRPr="005216E7">
        <w:t xml:space="preserve">candidate in support of </w:t>
      </w:r>
      <w:r w:rsidR="005F4726" w:rsidRPr="005216E7">
        <w:t>their</w:t>
      </w:r>
      <w:r w:rsidRPr="005216E7">
        <w:t xml:space="preserve"> candidacy and </w:t>
      </w:r>
      <w:r w:rsidR="005F4726" w:rsidRPr="005216E7">
        <w:t xml:space="preserve">a </w:t>
      </w:r>
      <w:r w:rsidRPr="005216E7">
        <w:t>response to a set of questions developed by the Board</w:t>
      </w:r>
    </w:p>
    <w:p w14:paraId="1D8AF6BB" w14:textId="5D224AC3" w:rsidR="00061BA4" w:rsidRPr="005216E7" w:rsidRDefault="00061BA4" w:rsidP="00061BA4">
      <w:pPr>
        <w:spacing w:after="0" w:line="240" w:lineRule="auto"/>
      </w:pPr>
      <w:r w:rsidRPr="005216E7">
        <w:t>of Governors (BOG) Nominee Platform Work Group, in the below-specified format. Once all</w:t>
      </w:r>
    </w:p>
    <w:p w14:paraId="77281E73" w14:textId="703EE1CA" w:rsidR="00061BA4" w:rsidRPr="005216E7" w:rsidRDefault="00061BA4" w:rsidP="00061BA4">
      <w:pPr>
        <w:spacing w:after="0" w:line="240" w:lineRule="auto"/>
      </w:pPr>
      <w:r w:rsidRPr="005216E7">
        <w:t>statements for a specific position have been received and approved (by or before the deadline), they</w:t>
      </w:r>
    </w:p>
    <w:p w14:paraId="59251CA9" w14:textId="77777777" w:rsidR="00061BA4" w:rsidRPr="005216E7" w:rsidRDefault="00061BA4" w:rsidP="00061BA4">
      <w:pPr>
        <w:spacing w:after="0" w:line="240" w:lineRule="auto"/>
      </w:pPr>
      <w:r w:rsidRPr="005216E7">
        <w:t>will be posted collectively to the Academy’s website and will remain there throughout the election</w:t>
      </w:r>
    </w:p>
    <w:p w14:paraId="7FC95509" w14:textId="44AEC08A" w:rsidR="00061BA4" w:rsidRPr="005216E7" w:rsidRDefault="00061BA4" w:rsidP="00061BA4">
      <w:pPr>
        <w:spacing w:after="0" w:line="240" w:lineRule="auto"/>
      </w:pPr>
      <w:r w:rsidRPr="005216E7">
        <w:t>period. Membership will be notified via email, ENT</w:t>
      </w:r>
      <w:r w:rsidR="00837413" w:rsidRPr="005216E7">
        <w:t xml:space="preserve"> </w:t>
      </w:r>
      <w:r w:rsidRPr="005216E7">
        <w:t>Connect Open Forum, and on the Academy’s website</w:t>
      </w:r>
    </w:p>
    <w:p w14:paraId="469B0E29" w14:textId="2A3EA9D0" w:rsidR="00061BA4" w:rsidRPr="005216E7" w:rsidRDefault="00061BA4" w:rsidP="00061BA4">
      <w:pPr>
        <w:spacing w:after="0" w:line="240" w:lineRule="auto"/>
      </w:pPr>
      <w:r w:rsidRPr="005216E7">
        <w:t>home page of such posting. These postings will have a link that will take members directly to the candidate election materials. Candidates may not disseminate any organized campaigns by letters,</w:t>
      </w:r>
    </w:p>
    <w:p w14:paraId="457B03F3" w14:textId="512F2AE2" w:rsidR="00061BA4" w:rsidRPr="005216E7" w:rsidRDefault="00061BA4" w:rsidP="00061BA4">
      <w:pPr>
        <w:spacing w:after="0" w:line="240" w:lineRule="auto"/>
      </w:pPr>
      <w:r w:rsidRPr="005216E7">
        <w:t xml:space="preserve">emails, </w:t>
      </w:r>
      <w:r w:rsidR="00D041FF" w:rsidRPr="005216E7">
        <w:t>industry or academic sponsored events</w:t>
      </w:r>
      <w:r w:rsidR="008D6410" w:rsidRPr="005216E7">
        <w:t xml:space="preserve">, </w:t>
      </w:r>
      <w:r w:rsidRPr="005216E7">
        <w:t>or other correspondence or materials in support of their candidacy.</w:t>
      </w:r>
    </w:p>
    <w:p w14:paraId="1B535EF1" w14:textId="77777777" w:rsidR="00061BA4" w:rsidRPr="005216E7" w:rsidRDefault="00061BA4" w:rsidP="00061BA4">
      <w:pPr>
        <w:spacing w:after="0" w:line="240" w:lineRule="auto"/>
      </w:pPr>
      <w:r w:rsidRPr="005216E7">
        <w:t>The Official Statement:</w:t>
      </w:r>
    </w:p>
    <w:p w14:paraId="686DF8F9" w14:textId="77777777" w:rsidR="00061BA4" w:rsidRPr="005216E7" w:rsidRDefault="00061BA4" w:rsidP="00061BA4">
      <w:pPr>
        <w:spacing w:after="0" w:line="240" w:lineRule="auto"/>
        <w:ind w:left="720"/>
      </w:pPr>
      <w:r w:rsidRPr="005216E7">
        <w:t>• Must be typewritten and submitted in a Word-format file</w:t>
      </w:r>
    </w:p>
    <w:p w14:paraId="5DF555DA" w14:textId="77777777" w:rsidR="00061BA4" w:rsidRPr="005216E7" w:rsidRDefault="00061BA4" w:rsidP="00061BA4">
      <w:pPr>
        <w:spacing w:after="0" w:line="240" w:lineRule="auto"/>
        <w:ind w:left="720"/>
      </w:pPr>
      <w:r w:rsidRPr="005216E7">
        <w:t>• Word count for official statements is as follows:</w:t>
      </w:r>
    </w:p>
    <w:p w14:paraId="27EB6D87" w14:textId="7FE96AEE" w:rsidR="00061BA4" w:rsidRPr="005216E7" w:rsidRDefault="00061BA4" w:rsidP="00061BA4">
      <w:pPr>
        <w:spacing w:after="0" w:line="240" w:lineRule="auto"/>
        <w:ind w:left="1440"/>
      </w:pPr>
      <w:r w:rsidRPr="005216E7">
        <w:t>o President-</w:t>
      </w:r>
      <w:r w:rsidR="001D1A0A" w:rsidRPr="005216E7">
        <w:t>e</w:t>
      </w:r>
      <w:r w:rsidRPr="005216E7">
        <w:t>lect / 500 words maximum</w:t>
      </w:r>
    </w:p>
    <w:p w14:paraId="0DD5AC03" w14:textId="124051B0" w:rsidR="00061BA4" w:rsidRPr="005216E7" w:rsidRDefault="00061BA4" w:rsidP="00061BA4">
      <w:pPr>
        <w:spacing w:after="0" w:line="240" w:lineRule="auto"/>
        <w:ind w:left="1440"/>
      </w:pPr>
      <w:r w:rsidRPr="005216E7">
        <w:t>o Secretary</w:t>
      </w:r>
      <w:r w:rsidR="00AA5783" w:rsidRPr="005216E7">
        <w:t>/</w:t>
      </w:r>
      <w:r w:rsidRPr="005216E7">
        <w:t>Treasurer</w:t>
      </w:r>
      <w:r w:rsidR="001D1A0A" w:rsidRPr="005216E7">
        <w:t>-e</w:t>
      </w:r>
      <w:r w:rsidRPr="005216E7">
        <w:t>lect / 500 words maximum</w:t>
      </w:r>
    </w:p>
    <w:p w14:paraId="5934AC01" w14:textId="77777777" w:rsidR="00061BA4" w:rsidRPr="005216E7" w:rsidRDefault="00061BA4" w:rsidP="00061BA4">
      <w:pPr>
        <w:spacing w:after="0" w:line="240" w:lineRule="auto"/>
        <w:ind w:left="1440"/>
      </w:pPr>
      <w:r w:rsidRPr="005216E7">
        <w:t>o Director at Large / 200 words maximum</w:t>
      </w:r>
    </w:p>
    <w:p w14:paraId="54B7960D" w14:textId="77777777" w:rsidR="00061BA4" w:rsidRPr="005216E7" w:rsidRDefault="00061BA4" w:rsidP="00061BA4">
      <w:pPr>
        <w:spacing w:after="0" w:line="240" w:lineRule="auto"/>
        <w:ind w:left="1440"/>
      </w:pPr>
      <w:r w:rsidRPr="005216E7">
        <w:t>o Nominating Committee / 200 words maximum</w:t>
      </w:r>
    </w:p>
    <w:p w14:paraId="22045BF2" w14:textId="77777777" w:rsidR="00061BA4" w:rsidRPr="005216E7" w:rsidRDefault="00061BA4" w:rsidP="00061BA4">
      <w:pPr>
        <w:spacing w:after="0" w:line="240" w:lineRule="auto"/>
        <w:ind w:left="1440"/>
      </w:pPr>
      <w:r w:rsidRPr="005216E7">
        <w:t>o Audit Committee / 200 words maximum</w:t>
      </w:r>
    </w:p>
    <w:p w14:paraId="3B984BDE" w14:textId="4502ED53" w:rsidR="00061BA4" w:rsidRPr="005216E7" w:rsidRDefault="00061BA4" w:rsidP="00181326">
      <w:pPr>
        <w:spacing w:after="0" w:line="240" w:lineRule="auto"/>
        <w:ind w:left="720"/>
      </w:pPr>
      <w:r w:rsidRPr="005216E7">
        <w:lastRenderedPageBreak/>
        <w:t>• Candidates must submit an electronic copy via email of their official statement to the Academy</w:t>
      </w:r>
      <w:r w:rsidR="00CE2D7C" w:rsidRPr="005216E7">
        <w:t xml:space="preserve"> </w:t>
      </w:r>
      <w:r w:rsidRPr="005216E7">
        <w:t>office for review by the Chair of the Ad Hoc Task Force on Election Oversight no later than the assigned deadline, generally in early February.</w:t>
      </w:r>
    </w:p>
    <w:p w14:paraId="05DDA24A" w14:textId="4C77F622" w:rsidR="00061BA4" w:rsidRPr="005216E7" w:rsidRDefault="00061BA4" w:rsidP="00D151BF">
      <w:pPr>
        <w:spacing w:after="0" w:line="240" w:lineRule="auto"/>
        <w:ind w:left="720"/>
      </w:pPr>
      <w:r w:rsidRPr="005216E7">
        <w:t xml:space="preserve">The version of the official statement submitted by the candidate to the Academy for posting on the website and publication in the </w:t>
      </w:r>
      <w:r w:rsidRPr="005216E7">
        <w:rPr>
          <w:i/>
          <w:iCs/>
        </w:rPr>
        <w:t>Bulletin</w:t>
      </w:r>
      <w:r w:rsidRPr="005216E7">
        <w:t xml:space="preserve"> and dissemination must be in final form. No changes to the official statement will be allowed after it is submitted to the Academy by the candidate. The Academy will not be responsible for errors in the final version of the official statement submitted by the candidate.</w:t>
      </w:r>
    </w:p>
    <w:p w14:paraId="312A4720" w14:textId="77777777" w:rsidR="00061BA4" w:rsidRPr="005216E7" w:rsidRDefault="00061BA4" w:rsidP="00061BA4">
      <w:pPr>
        <w:spacing w:after="0" w:line="240" w:lineRule="auto"/>
        <w:ind w:left="720"/>
      </w:pPr>
    </w:p>
    <w:p w14:paraId="22A7B19F" w14:textId="77777777" w:rsidR="00061BA4" w:rsidRPr="005216E7" w:rsidRDefault="00061BA4" w:rsidP="00061BA4">
      <w:pPr>
        <w:spacing w:after="0" w:line="240" w:lineRule="auto"/>
      </w:pPr>
      <w:r w:rsidRPr="005216E7">
        <w:t>b. Candidates are prohibited from soliciting, financing, or disseminating support letters authored by</w:t>
      </w:r>
    </w:p>
    <w:p w14:paraId="1655F835" w14:textId="3A9F45CC" w:rsidR="00061BA4" w:rsidRPr="005216E7" w:rsidRDefault="00061BA4" w:rsidP="00061BA4">
      <w:pPr>
        <w:spacing w:after="0" w:line="240" w:lineRule="auto"/>
      </w:pPr>
      <w:r w:rsidRPr="005216E7">
        <w:t>others, including other Academy members</w:t>
      </w:r>
      <w:r w:rsidR="00CE2D7C" w:rsidRPr="005216E7">
        <w:t xml:space="preserve"> as well as any industry representatives</w:t>
      </w:r>
      <w:r w:rsidRPr="005216E7">
        <w:t>.</w:t>
      </w:r>
    </w:p>
    <w:p w14:paraId="5788A393" w14:textId="77777777" w:rsidR="00061BA4" w:rsidRPr="005216E7" w:rsidRDefault="00061BA4" w:rsidP="00061BA4">
      <w:pPr>
        <w:spacing w:after="0" w:line="240" w:lineRule="auto"/>
      </w:pPr>
    </w:p>
    <w:p w14:paraId="7B1FBBC1" w14:textId="6B0B315B" w:rsidR="00061BA4" w:rsidRPr="005216E7" w:rsidRDefault="00061BA4" w:rsidP="00061BA4">
      <w:pPr>
        <w:spacing w:after="0" w:line="240" w:lineRule="auto"/>
      </w:pPr>
      <w:r w:rsidRPr="005216E7">
        <w:t xml:space="preserve">c. </w:t>
      </w:r>
      <w:r w:rsidR="00CE2D7C" w:rsidRPr="005216E7">
        <w:t>C</w:t>
      </w:r>
      <w:r w:rsidRPr="005216E7">
        <w:t>andidates may give educational presentations or interviews at otolaryngologic meetings or in related</w:t>
      </w:r>
    </w:p>
    <w:p w14:paraId="07E89866" w14:textId="7456AEFD" w:rsidR="00061BA4" w:rsidRPr="005216E7" w:rsidRDefault="00061BA4" w:rsidP="004226E8">
      <w:pPr>
        <w:spacing w:after="0" w:line="240" w:lineRule="auto"/>
      </w:pPr>
      <w:r w:rsidRPr="005216E7">
        <w:t>publications</w:t>
      </w:r>
      <w:r w:rsidR="00CE2D7C" w:rsidRPr="005216E7">
        <w:t xml:space="preserve"> or settings</w:t>
      </w:r>
      <w:r w:rsidR="00E90BD6" w:rsidRPr="005216E7">
        <w:t xml:space="preserve"> that are unrelated to the election</w:t>
      </w:r>
      <w:r w:rsidR="00CE2D7C" w:rsidRPr="005216E7">
        <w:t xml:space="preserve"> and continue to fulfil their existing roles within</w:t>
      </w:r>
      <w:r w:rsidR="007472DC" w:rsidRPr="005216E7">
        <w:t xml:space="preserve"> the</w:t>
      </w:r>
      <w:r w:rsidR="00CE2D7C" w:rsidRPr="005216E7">
        <w:t xml:space="preserve"> Academy. These statements/actions/appearances should not include</w:t>
      </w:r>
      <w:r w:rsidRPr="005216E7">
        <w:t xml:space="preserve"> any political or electioneering content</w:t>
      </w:r>
      <w:r w:rsidR="00862FDD" w:rsidRPr="005216E7">
        <w:t xml:space="preserve">. </w:t>
      </w:r>
      <w:r w:rsidR="00EC6268" w:rsidRPr="005216E7">
        <w:t>At meetings and in presentations, the</w:t>
      </w:r>
      <w:r w:rsidR="00862FDD" w:rsidRPr="005216E7">
        <w:t xml:space="preserve"> </w:t>
      </w:r>
      <w:r w:rsidR="00DD5BC0" w:rsidRPr="005216E7">
        <w:t>candidate</w:t>
      </w:r>
      <w:r w:rsidR="00862FDD" w:rsidRPr="005216E7">
        <w:t xml:space="preserve"> can however</w:t>
      </w:r>
      <w:r w:rsidR="008C3352" w:rsidRPr="005216E7">
        <w:t xml:space="preserve"> state that they are up for election </w:t>
      </w:r>
      <w:r w:rsidR="005F4726" w:rsidRPr="005216E7">
        <w:t xml:space="preserve">and answer questions asked by members </w:t>
      </w:r>
      <w:r w:rsidR="00A72682" w:rsidRPr="005216E7">
        <w:t>about their positions on key issues.</w:t>
      </w:r>
    </w:p>
    <w:p w14:paraId="5EBDB20D" w14:textId="77777777" w:rsidR="00061BA4" w:rsidRPr="005216E7" w:rsidRDefault="00061BA4" w:rsidP="00061BA4">
      <w:pPr>
        <w:spacing w:after="0" w:line="240" w:lineRule="auto"/>
      </w:pPr>
    </w:p>
    <w:p w14:paraId="20829C3B" w14:textId="4FD17D04" w:rsidR="00061BA4" w:rsidRPr="005216E7" w:rsidRDefault="00061BA4" w:rsidP="00061BA4">
      <w:pPr>
        <w:spacing w:after="0" w:line="240" w:lineRule="auto"/>
      </w:pPr>
      <w:r w:rsidRPr="005216E7">
        <w:t xml:space="preserve">Outreach during the election cycle to current or past leadership of </w:t>
      </w:r>
      <w:r w:rsidR="00331E9F" w:rsidRPr="005216E7">
        <w:t>o</w:t>
      </w:r>
      <w:r w:rsidRPr="005216E7">
        <w:t>tolaryngology societies (e</w:t>
      </w:r>
      <w:r w:rsidR="00D55CF6" w:rsidRPr="005216E7">
        <w:t>.</w:t>
      </w:r>
      <w:r w:rsidRPr="005216E7">
        <w:t>g</w:t>
      </w:r>
      <w:r w:rsidR="00D55CF6" w:rsidRPr="005216E7">
        <w:t>.</w:t>
      </w:r>
      <w:r w:rsidRPr="005216E7">
        <w:t>, local</w:t>
      </w:r>
    </w:p>
    <w:p w14:paraId="2A2D7088" w14:textId="0B11F011" w:rsidR="00061BA4" w:rsidRPr="005216E7" w:rsidRDefault="00061BA4" w:rsidP="00CE2D7C">
      <w:pPr>
        <w:spacing w:after="0" w:line="240" w:lineRule="auto"/>
      </w:pPr>
      <w:r w:rsidRPr="005216E7">
        <w:t>or state, other national specialty societies, Academy committees), or similar individual(s),</w:t>
      </w:r>
      <w:r w:rsidR="00CE2D7C" w:rsidRPr="005216E7">
        <w:t xml:space="preserve"> specifically</w:t>
      </w:r>
      <w:r w:rsidRPr="005216E7">
        <w:t xml:space="preserve"> </w:t>
      </w:r>
      <w:r w:rsidR="00C2317D" w:rsidRPr="005216E7">
        <w:t xml:space="preserve">for the purpose of campaigning </w:t>
      </w:r>
      <w:r w:rsidRPr="005216E7">
        <w:t xml:space="preserve">relating to one’s candidacy or service in the position if elected, </w:t>
      </w:r>
      <w:r w:rsidR="00CE2D7C" w:rsidRPr="005216E7">
        <w:t>is not allowed</w:t>
      </w:r>
      <w:r w:rsidRPr="005216E7">
        <w:t>.</w:t>
      </w:r>
    </w:p>
    <w:p w14:paraId="06CD0EBC" w14:textId="77777777" w:rsidR="00061BA4" w:rsidRPr="005216E7" w:rsidRDefault="00061BA4" w:rsidP="00061BA4">
      <w:pPr>
        <w:spacing w:after="0" w:line="240" w:lineRule="auto"/>
      </w:pPr>
    </w:p>
    <w:p w14:paraId="1B288584" w14:textId="23C908D4" w:rsidR="00061BA4" w:rsidRPr="005216E7" w:rsidRDefault="00061BA4" w:rsidP="00061BA4">
      <w:pPr>
        <w:spacing w:after="0" w:line="240" w:lineRule="auto"/>
      </w:pPr>
      <w:r w:rsidRPr="005216E7">
        <w:t xml:space="preserve">d. </w:t>
      </w:r>
      <w:r w:rsidR="00CE2D7C" w:rsidRPr="005216E7">
        <w:t xml:space="preserve">Candidates are not allowed to </w:t>
      </w:r>
      <w:r w:rsidR="00E13B29" w:rsidRPr="005216E7">
        <w:t xml:space="preserve">dedicate or </w:t>
      </w:r>
      <w:r w:rsidR="00CE2D7C" w:rsidRPr="005216E7">
        <w:t>spend any funding</w:t>
      </w:r>
      <w:r w:rsidR="00A52E81" w:rsidRPr="005216E7">
        <w:t xml:space="preserve"> including donations</w:t>
      </w:r>
      <w:r w:rsidR="00CE2D7C" w:rsidRPr="005216E7">
        <w:t xml:space="preserve"> on their campaigning activities. </w:t>
      </w:r>
      <w:r w:rsidRPr="005216E7">
        <w:t>Distribution by candidates of flyers, trinkets, pins, ribbons, and other similar items in support of the</w:t>
      </w:r>
      <w:r w:rsidR="00CE2D7C" w:rsidRPr="005216E7">
        <w:t xml:space="preserve"> </w:t>
      </w:r>
      <w:r w:rsidRPr="005216E7">
        <w:t>candidate is prohibited.</w:t>
      </w:r>
    </w:p>
    <w:p w14:paraId="3479955D" w14:textId="77777777" w:rsidR="00061BA4" w:rsidRPr="005216E7" w:rsidRDefault="00061BA4" w:rsidP="00061BA4">
      <w:pPr>
        <w:spacing w:after="0" w:line="240" w:lineRule="auto"/>
      </w:pPr>
    </w:p>
    <w:p w14:paraId="7C96C6BB" w14:textId="4E81F245" w:rsidR="00061BA4" w:rsidRPr="005216E7" w:rsidRDefault="00061BA4" w:rsidP="00061BA4">
      <w:pPr>
        <w:spacing w:after="0" w:line="240" w:lineRule="auto"/>
      </w:pPr>
      <w:r w:rsidRPr="005216E7">
        <w:t>e. Campaigns organized by candidates, including letter writing, telephone campaigns, emails, postings</w:t>
      </w:r>
    </w:p>
    <w:p w14:paraId="3F52F376" w14:textId="77777777" w:rsidR="00061BA4" w:rsidRPr="005216E7" w:rsidRDefault="00061BA4" w:rsidP="00061BA4">
      <w:pPr>
        <w:spacing w:after="0" w:line="240" w:lineRule="auto"/>
      </w:pPr>
      <w:r w:rsidRPr="005216E7">
        <w:t>to chat rooms or their equivalent (except venues explicitly set up for this purpose by the Academy), and</w:t>
      </w:r>
    </w:p>
    <w:p w14:paraId="2E3840BC" w14:textId="77777777" w:rsidR="00CE2D7C" w:rsidRPr="005216E7" w:rsidRDefault="00061BA4" w:rsidP="00061BA4">
      <w:pPr>
        <w:spacing w:after="0" w:line="240" w:lineRule="auto"/>
      </w:pPr>
      <w:r w:rsidRPr="005216E7">
        <w:t xml:space="preserve">other forms of campaigns are prohibited. </w:t>
      </w:r>
    </w:p>
    <w:p w14:paraId="180B0DBD" w14:textId="77777777" w:rsidR="00CE2D7C" w:rsidRPr="005216E7" w:rsidRDefault="00CE2D7C" w:rsidP="00061BA4">
      <w:pPr>
        <w:spacing w:after="0" w:line="240" w:lineRule="auto"/>
      </w:pPr>
    </w:p>
    <w:p w14:paraId="3F28743C" w14:textId="3FDB3E8C" w:rsidR="00061BA4" w:rsidRPr="005216E7" w:rsidRDefault="00CE2D7C" w:rsidP="00061BA4">
      <w:pPr>
        <w:spacing w:after="0" w:line="240" w:lineRule="auto"/>
      </w:pPr>
      <w:r w:rsidRPr="005216E7">
        <w:t xml:space="preserve">f. </w:t>
      </w:r>
      <w:r w:rsidR="00711F2F" w:rsidRPr="005216E7">
        <w:t xml:space="preserve">This does not prohibit individuals from discussing candidates and issues with other members at in-person events or through individual communications. </w:t>
      </w:r>
      <w:r w:rsidR="00A72682" w:rsidRPr="005216E7">
        <w:t xml:space="preserve">Organized </w:t>
      </w:r>
      <w:r w:rsidR="00C85B6B" w:rsidRPr="005216E7">
        <w:t>e</w:t>
      </w:r>
      <w:r w:rsidR="00061BA4" w:rsidRPr="005216E7">
        <w:t xml:space="preserve">mail or other electronic campaigns in support of a candidate </w:t>
      </w:r>
      <w:r w:rsidRPr="005216E7">
        <w:t>are prohibited. T</w:t>
      </w:r>
      <w:r w:rsidR="00061BA4" w:rsidRPr="005216E7">
        <w:t>he Academy, as part of the election process, will</w:t>
      </w:r>
      <w:r w:rsidRPr="005216E7">
        <w:t xml:space="preserve"> </w:t>
      </w:r>
      <w:r w:rsidR="00061BA4" w:rsidRPr="005216E7">
        <w:t>remind and educate voting members that such actions are prohibited and, may be detrimental to a</w:t>
      </w:r>
      <w:r w:rsidRPr="005216E7">
        <w:t xml:space="preserve"> </w:t>
      </w:r>
      <w:r w:rsidR="00061BA4" w:rsidRPr="005216E7">
        <w:t>nominee’s candidacy.</w:t>
      </w:r>
    </w:p>
    <w:p w14:paraId="091E9A0F" w14:textId="77777777" w:rsidR="00E90BD6" w:rsidRPr="005216E7" w:rsidRDefault="00E90BD6" w:rsidP="00061BA4">
      <w:pPr>
        <w:spacing w:after="0" w:line="240" w:lineRule="auto"/>
      </w:pPr>
    </w:p>
    <w:p w14:paraId="30C53362" w14:textId="63537DD4" w:rsidR="00E90BD6" w:rsidRPr="005216E7" w:rsidRDefault="00E90BD6" w:rsidP="00061BA4">
      <w:pPr>
        <w:spacing w:after="0" w:line="240" w:lineRule="auto"/>
      </w:pPr>
      <w:r w:rsidRPr="005216E7">
        <w:t>g. Election campaigning is not permitted on any ENT Connect site.</w:t>
      </w:r>
      <w:r w:rsidR="00A472C9" w:rsidRPr="005216E7">
        <w:t xml:space="preserve">  Candidates may participate in normal discourse on ENT Connect communities unrelated to the election.</w:t>
      </w:r>
    </w:p>
    <w:p w14:paraId="0E9194C9" w14:textId="77777777" w:rsidR="00061BA4" w:rsidRPr="005216E7" w:rsidRDefault="00061BA4" w:rsidP="00061BA4">
      <w:pPr>
        <w:spacing w:after="0" w:line="240" w:lineRule="auto"/>
      </w:pPr>
    </w:p>
    <w:p w14:paraId="0DFFEFCD" w14:textId="77777777" w:rsidR="00061BA4" w:rsidRPr="005216E7" w:rsidRDefault="00061BA4" w:rsidP="00061BA4">
      <w:pPr>
        <w:spacing w:after="0" w:line="240" w:lineRule="auto"/>
        <w:rPr>
          <w:b/>
          <w:bCs/>
        </w:rPr>
      </w:pPr>
      <w:r w:rsidRPr="005216E7">
        <w:rPr>
          <w:b/>
          <w:bCs/>
        </w:rPr>
        <w:t>Candidate Sanctions for Failure to Comply with Regulations</w:t>
      </w:r>
    </w:p>
    <w:p w14:paraId="2E9F4252" w14:textId="03BAD143" w:rsidR="00061BA4" w:rsidRPr="005216E7" w:rsidRDefault="00061BA4" w:rsidP="00061BA4">
      <w:pPr>
        <w:spacing w:after="0" w:line="240" w:lineRule="auto"/>
      </w:pPr>
      <w:r w:rsidRPr="005216E7">
        <w:t>Slated candidate(s), who are found by a majority vote of the Executive Committee, to be in violation of</w:t>
      </w:r>
    </w:p>
    <w:p w14:paraId="2EC01C22" w14:textId="77777777" w:rsidR="00061BA4" w:rsidRPr="005216E7" w:rsidRDefault="00061BA4" w:rsidP="00061BA4">
      <w:pPr>
        <w:spacing w:after="0" w:line="240" w:lineRule="auto"/>
      </w:pPr>
      <w:r w:rsidRPr="005216E7">
        <w:t>the above regulations may, at the Committee’s discretion, be subject to sanctions, including but not</w:t>
      </w:r>
    </w:p>
    <w:p w14:paraId="1B03FDC0" w14:textId="77777777" w:rsidR="00061BA4" w:rsidRPr="005216E7" w:rsidRDefault="00061BA4" w:rsidP="00061BA4">
      <w:pPr>
        <w:spacing w:after="0" w:line="240" w:lineRule="auto"/>
      </w:pPr>
      <w:r w:rsidRPr="005216E7">
        <w:t>limited to, removal from the ballot and/or nullification of votes received. Preliminary complaints and</w:t>
      </w:r>
    </w:p>
    <w:p w14:paraId="032A677A" w14:textId="77777777" w:rsidR="00061BA4" w:rsidRPr="005216E7" w:rsidRDefault="00061BA4" w:rsidP="00061BA4">
      <w:pPr>
        <w:spacing w:after="0" w:line="240" w:lineRule="auto"/>
      </w:pPr>
      <w:r w:rsidRPr="005216E7">
        <w:t>investigation will be fielded by the Ad Hoc Task Force on Election Oversight and then communicated to</w:t>
      </w:r>
    </w:p>
    <w:p w14:paraId="0CD053B1" w14:textId="02058E68" w:rsidR="00061BA4" w:rsidRDefault="00061BA4" w:rsidP="00061BA4">
      <w:pPr>
        <w:spacing w:after="0" w:line="240" w:lineRule="auto"/>
      </w:pPr>
      <w:r w:rsidRPr="005216E7">
        <w:t>the Executive Committee.</w:t>
      </w:r>
    </w:p>
    <w:p w14:paraId="1517F354" w14:textId="77777777" w:rsidR="005216E7" w:rsidRPr="005216E7" w:rsidRDefault="005216E7" w:rsidP="00061BA4">
      <w:pPr>
        <w:spacing w:after="0" w:line="240" w:lineRule="auto"/>
      </w:pPr>
    </w:p>
    <w:p w14:paraId="2A34E5C7" w14:textId="77777777" w:rsidR="00061BA4" w:rsidRPr="005216E7" w:rsidRDefault="00061BA4" w:rsidP="00061BA4">
      <w:pPr>
        <w:spacing w:after="0" w:line="240" w:lineRule="auto"/>
      </w:pPr>
    </w:p>
    <w:p w14:paraId="2F2772C3" w14:textId="77777777" w:rsidR="00061BA4" w:rsidRPr="005216E7" w:rsidRDefault="00061BA4" w:rsidP="00061BA4">
      <w:pPr>
        <w:spacing w:after="0" w:line="240" w:lineRule="auto"/>
        <w:rPr>
          <w:b/>
          <w:bCs/>
        </w:rPr>
      </w:pPr>
      <w:r w:rsidRPr="005216E7">
        <w:rPr>
          <w:b/>
          <w:bCs/>
        </w:rPr>
        <w:lastRenderedPageBreak/>
        <w:t>Publication of Election Guidelines</w:t>
      </w:r>
    </w:p>
    <w:p w14:paraId="176A7BEC" w14:textId="77777777" w:rsidR="00061BA4" w:rsidRPr="005216E7" w:rsidRDefault="00061BA4" w:rsidP="00061BA4">
      <w:pPr>
        <w:spacing w:after="0" w:line="240" w:lineRule="auto"/>
      </w:pPr>
      <w:r w:rsidRPr="005216E7">
        <w:t>The Academy will inform the membership of the official, authorized, and recommended election</w:t>
      </w:r>
    </w:p>
    <w:p w14:paraId="6B20D633" w14:textId="77777777" w:rsidR="00061BA4" w:rsidRPr="005216E7" w:rsidRDefault="00061BA4" w:rsidP="00061BA4">
      <w:pPr>
        <w:spacing w:after="0" w:line="240" w:lineRule="auto"/>
      </w:pPr>
      <w:r w:rsidRPr="005216E7">
        <w:t>activities identified herein by publishing an excerpt of this administrative regulation on election activities</w:t>
      </w:r>
    </w:p>
    <w:p w14:paraId="65C65354" w14:textId="2DBCBED4" w:rsidR="00711F2F" w:rsidRDefault="00061BA4" w:rsidP="00711F2F">
      <w:pPr>
        <w:spacing w:after="0" w:line="240" w:lineRule="auto"/>
      </w:pPr>
      <w:r w:rsidRPr="005216E7">
        <w:t xml:space="preserve">in the </w:t>
      </w:r>
      <w:r w:rsidRPr="005216E7">
        <w:rPr>
          <w:i/>
          <w:iCs/>
        </w:rPr>
        <w:t>Bulletin</w:t>
      </w:r>
      <w:r w:rsidRPr="005216E7">
        <w:t xml:space="preserve"> in the earliest issue after the date that candidates are announced</w:t>
      </w:r>
      <w:r w:rsidR="00711F2F" w:rsidRPr="005216E7">
        <w:t>.</w:t>
      </w:r>
    </w:p>
    <w:p w14:paraId="4B661CBD" w14:textId="668336D0" w:rsidR="002A64C0" w:rsidRDefault="002A64C0" w:rsidP="00061BA4">
      <w:pPr>
        <w:spacing w:after="0" w:line="240" w:lineRule="auto"/>
      </w:pPr>
    </w:p>
    <w:p w14:paraId="1F85BAAD" w14:textId="77777777" w:rsidR="005012D4" w:rsidRDefault="005012D4" w:rsidP="00061BA4">
      <w:pPr>
        <w:spacing w:after="0" w:line="240" w:lineRule="auto"/>
      </w:pPr>
    </w:p>
    <w:p w14:paraId="763214CD" w14:textId="2CAA6A06" w:rsidR="005012D4" w:rsidRDefault="00862DF7" w:rsidP="00061BA4">
      <w:pPr>
        <w:spacing w:after="0" w:line="240" w:lineRule="auto"/>
      </w:pPr>
      <w:r>
        <w:t xml:space="preserve">I,  </w:t>
      </w:r>
      <w:r w:rsidR="00B22B4B">
        <w:t xml:space="preserve"> </w:t>
      </w:r>
      <w:r>
        <w:t>_______________________________</w:t>
      </w:r>
      <w:r w:rsidR="004D5D73">
        <w:t xml:space="preserve"> </w:t>
      </w:r>
      <w:r w:rsidR="00B22B4B">
        <w:t xml:space="preserve">, agree to follow </w:t>
      </w:r>
      <w:r w:rsidR="0091508E">
        <w:t>the election and campaigning guidelines.</w:t>
      </w:r>
    </w:p>
    <w:p w14:paraId="58FDDD2D" w14:textId="77777777" w:rsidR="0091508E" w:rsidRDefault="0091508E" w:rsidP="00061BA4">
      <w:pPr>
        <w:spacing w:after="0" w:line="240" w:lineRule="auto"/>
      </w:pPr>
    </w:p>
    <w:p w14:paraId="0A855CDD" w14:textId="77777777" w:rsidR="0091508E" w:rsidRDefault="0091508E" w:rsidP="00061BA4">
      <w:pPr>
        <w:spacing w:after="0" w:line="240" w:lineRule="auto"/>
      </w:pPr>
    </w:p>
    <w:p w14:paraId="2325B723" w14:textId="77777777" w:rsidR="0091508E" w:rsidRDefault="0091508E" w:rsidP="00061BA4">
      <w:pPr>
        <w:spacing w:after="0" w:line="240" w:lineRule="auto"/>
      </w:pPr>
    </w:p>
    <w:p w14:paraId="36B21679" w14:textId="68F6EB16" w:rsidR="004D5D73" w:rsidRDefault="00272324" w:rsidP="00061BA4">
      <w:pPr>
        <w:spacing w:after="0" w:line="240" w:lineRule="auto"/>
      </w:pPr>
      <w:r>
        <w:t>______________________________</w:t>
      </w:r>
      <w:r w:rsidR="00862DF7">
        <w:t>__________</w:t>
      </w:r>
      <w:r>
        <w:tab/>
      </w:r>
      <w:r>
        <w:tab/>
        <w:t>________________</w:t>
      </w:r>
      <w:r w:rsidR="00862DF7">
        <w:t>_______________</w:t>
      </w:r>
    </w:p>
    <w:p w14:paraId="655B11CC" w14:textId="6D53B5D9" w:rsidR="004D5D73" w:rsidRDefault="004D5D73" w:rsidP="00061BA4">
      <w:pPr>
        <w:spacing w:after="0" w:line="240" w:lineRule="auto"/>
        <w:rPr>
          <w:b/>
          <w:bCs/>
        </w:rPr>
      </w:pPr>
      <w:r w:rsidRPr="00272324">
        <w:rPr>
          <w:b/>
          <w:bCs/>
          <w:highlight w:val="yellow"/>
        </w:rPr>
        <w:t>Signature (electronic or handwritten)</w:t>
      </w:r>
      <w:r w:rsidR="00272324">
        <w:tab/>
      </w:r>
      <w:r w:rsidR="00272324">
        <w:tab/>
      </w:r>
      <w:r w:rsidR="00272324">
        <w:tab/>
      </w:r>
      <w:r w:rsidR="00272324">
        <w:tab/>
      </w:r>
      <w:r w:rsidR="00272324" w:rsidRPr="00862DF7">
        <w:rPr>
          <w:b/>
          <w:bCs/>
          <w:highlight w:val="yellow"/>
        </w:rPr>
        <w:t>Date</w:t>
      </w:r>
    </w:p>
    <w:p w14:paraId="0D29277E" w14:textId="77777777" w:rsidR="00862DF7" w:rsidRDefault="00862DF7" w:rsidP="00061BA4">
      <w:pPr>
        <w:spacing w:after="0" w:line="240" w:lineRule="auto"/>
        <w:rPr>
          <w:b/>
          <w:bCs/>
        </w:rPr>
      </w:pPr>
    </w:p>
    <w:p w14:paraId="748BF725" w14:textId="26D5C7E5" w:rsidR="00862DF7" w:rsidRDefault="00862DF7" w:rsidP="00061BA4">
      <w:pPr>
        <w:spacing w:after="0" w:line="240" w:lineRule="auto"/>
        <w:rPr>
          <w:b/>
          <w:bCs/>
        </w:rPr>
      </w:pPr>
      <w:r>
        <w:rPr>
          <w:b/>
          <w:bCs/>
        </w:rPr>
        <w:t>________________________________________</w:t>
      </w:r>
      <w:r>
        <w:rPr>
          <w:b/>
          <w:bCs/>
        </w:rPr>
        <w:tab/>
      </w:r>
      <w:r>
        <w:rPr>
          <w:b/>
          <w:bCs/>
        </w:rPr>
        <w:tab/>
        <w:t>_______________________________</w:t>
      </w:r>
    </w:p>
    <w:p w14:paraId="07443C7D" w14:textId="7E991647" w:rsidR="00862DF7" w:rsidRDefault="00862DF7" w:rsidP="00061BA4">
      <w:pPr>
        <w:spacing w:after="0" w:line="240" w:lineRule="auto"/>
      </w:pPr>
      <w:r w:rsidRPr="00862DF7">
        <w:rPr>
          <w:b/>
          <w:bCs/>
          <w:highlight w:val="yellow"/>
        </w:rPr>
        <w:t>Type or Print Name Legibly</w:t>
      </w:r>
      <w:r>
        <w:rPr>
          <w:b/>
          <w:bCs/>
        </w:rPr>
        <w:tab/>
      </w:r>
      <w:r>
        <w:rPr>
          <w:b/>
          <w:bCs/>
        </w:rPr>
        <w:tab/>
      </w:r>
      <w:r>
        <w:rPr>
          <w:b/>
          <w:bCs/>
        </w:rPr>
        <w:tab/>
      </w:r>
      <w:r>
        <w:rPr>
          <w:b/>
          <w:bCs/>
        </w:rPr>
        <w:tab/>
      </w:r>
      <w:r>
        <w:rPr>
          <w:b/>
          <w:bCs/>
        </w:rPr>
        <w:tab/>
      </w:r>
      <w:r w:rsidRPr="00862DF7">
        <w:rPr>
          <w:b/>
          <w:bCs/>
          <w:highlight w:val="yellow"/>
        </w:rPr>
        <w:t>Member ID</w:t>
      </w:r>
    </w:p>
    <w:sectPr w:rsidR="00862DF7">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A957D1" w14:textId="77777777" w:rsidR="00AF3417" w:rsidRDefault="00AF3417" w:rsidP="00AF3417">
      <w:pPr>
        <w:spacing w:after="0" w:line="240" w:lineRule="auto"/>
      </w:pPr>
      <w:r>
        <w:separator/>
      </w:r>
    </w:p>
  </w:endnote>
  <w:endnote w:type="continuationSeparator" w:id="0">
    <w:p w14:paraId="602B7969" w14:textId="77777777" w:rsidR="00AF3417" w:rsidRDefault="00AF3417" w:rsidP="00AF34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7933640"/>
      <w:docPartObj>
        <w:docPartGallery w:val="Page Numbers (Bottom of Page)"/>
        <w:docPartUnique/>
      </w:docPartObj>
    </w:sdtPr>
    <w:sdtEndPr>
      <w:rPr>
        <w:noProof/>
      </w:rPr>
    </w:sdtEndPr>
    <w:sdtContent>
      <w:p w14:paraId="6F86A32E" w14:textId="62FF385C" w:rsidR="00AF3417" w:rsidRDefault="00AF3417">
        <w:pPr>
          <w:pStyle w:val="Footer"/>
          <w:jc w:val="right"/>
        </w:pPr>
        <w:r>
          <w:t xml:space="preserve">Page </w:t>
        </w:r>
        <w:r>
          <w:fldChar w:fldCharType="begin"/>
        </w:r>
        <w:r>
          <w:instrText xml:space="preserve"> PAGE   \* MERGEFORMAT </w:instrText>
        </w:r>
        <w:r>
          <w:fldChar w:fldCharType="separate"/>
        </w:r>
        <w:r>
          <w:rPr>
            <w:noProof/>
          </w:rPr>
          <w:t>2</w:t>
        </w:r>
        <w:r>
          <w:rPr>
            <w:noProof/>
          </w:rPr>
          <w:fldChar w:fldCharType="end"/>
        </w:r>
      </w:p>
    </w:sdtContent>
  </w:sdt>
  <w:p w14:paraId="141EDCD8" w14:textId="77777777" w:rsidR="00AF3417" w:rsidRDefault="00AF34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81C893" w14:textId="77777777" w:rsidR="00AF3417" w:rsidRDefault="00AF3417" w:rsidP="00AF3417">
      <w:pPr>
        <w:spacing w:after="0" w:line="240" w:lineRule="auto"/>
      </w:pPr>
      <w:r>
        <w:separator/>
      </w:r>
    </w:p>
  </w:footnote>
  <w:footnote w:type="continuationSeparator" w:id="0">
    <w:p w14:paraId="038B5748" w14:textId="77777777" w:rsidR="00AF3417" w:rsidRDefault="00AF3417" w:rsidP="00AF34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D5560F"/>
    <w:multiLevelType w:val="hybridMultilevel"/>
    <w:tmpl w:val="F8A0A61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51E6F79"/>
    <w:multiLevelType w:val="hybridMultilevel"/>
    <w:tmpl w:val="EB68A8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60279414">
    <w:abstractNumId w:val="1"/>
  </w:num>
  <w:num w:numId="2" w16cid:durableId="17285259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BA4"/>
    <w:rsid w:val="000329C0"/>
    <w:rsid w:val="00061BA4"/>
    <w:rsid w:val="000C241A"/>
    <w:rsid w:val="000C588B"/>
    <w:rsid w:val="000E5DC8"/>
    <w:rsid w:val="00146FDC"/>
    <w:rsid w:val="00150DF6"/>
    <w:rsid w:val="00156CCE"/>
    <w:rsid w:val="0016613D"/>
    <w:rsid w:val="00181326"/>
    <w:rsid w:val="00185D88"/>
    <w:rsid w:val="001D1A0A"/>
    <w:rsid w:val="00211311"/>
    <w:rsid w:val="00270E91"/>
    <w:rsid w:val="00272324"/>
    <w:rsid w:val="002A64C0"/>
    <w:rsid w:val="002D4FD2"/>
    <w:rsid w:val="00304543"/>
    <w:rsid w:val="00331E9F"/>
    <w:rsid w:val="003C71A9"/>
    <w:rsid w:val="003D7056"/>
    <w:rsid w:val="003E10E7"/>
    <w:rsid w:val="00406417"/>
    <w:rsid w:val="004226E8"/>
    <w:rsid w:val="00437D22"/>
    <w:rsid w:val="004515D3"/>
    <w:rsid w:val="004D5D73"/>
    <w:rsid w:val="005012D4"/>
    <w:rsid w:val="0052124B"/>
    <w:rsid w:val="005216E7"/>
    <w:rsid w:val="005507B0"/>
    <w:rsid w:val="00576031"/>
    <w:rsid w:val="00576530"/>
    <w:rsid w:val="005F4726"/>
    <w:rsid w:val="00646BD8"/>
    <w:rsid w:val="0065453E"/>
    <w:rsid w:val="006A3AAA"/>
    <w:rsid w:val="006E55ED"/>
    <w:rsid w:val="007014A5"/>
    <w:rsid w:val="00711F2F"/>
    <w:rsid w:val="007472DC"/>
    <w:rsid w:val="00767F37"/>
    <w:rsid w:val="007A596F"/>
    <w:rsid w:val="007D015B"/>
    <w:rsid w:val="007E1A9A"/>
    <w:rsid w:val="0081629E"/>
    <w:rsid w:val="00837413"/>
    <w:rsid w:val="00862DF7"/>
    <w:rsid w:val="00862FDD"/>
    <w:rsid w:val="008952B0"/>
    <w:rsid w:val="008B2ABD"/>
    <w:rsid w:val="008C3352"/>
    <w:rsid w:val="008D6410"/>
    <w:rsid w:val="0091174C"/>
    <w:rsid w:val="0091508E"/>
    <w:rsid w:val="009440D7"/>
    <w:rsid w:val="00982698"/>
    <w:rsid w:val="009C09C9"/>
    <w:rsid w:val="00A03B77"/>
    <w:rsid w:val="00A472C9"/>
    <w:rsid w:val="00A52975"/>
    <w:rsid w:val="00A52E81"/>
    <w:rsid w:val="00A652C7"/>
    <w:rsid w:val="00A72682"/>
    <w:rsid w:val="00A97566"/>
    <w:rsid w:val="00AA5783"/>
    <w:rsid w:val="00AF3417"/>
    <w:rsid w:val="00B22B4B"/>
    <w:rsid w:val="00B67268"/>
    <w:rsid w:val="00BA0C00"/>
    <w:rsid w:val="00BF4795"/>
    <w:rsid w:val="00C00457"/>
    <w:rsid w:val="00C05B4F"/>
    <w:rsid w:val="00C210E0"/>
    <w:rsid w:val="00C2317D"/>
    <w:rsid w:val="00C85B6B"/>
    <w:rsid w:val="00CE1630"/>
    <w:rsid w:val="00CE2D7C"/>
    <w:rsid w:val="00D041FF"/>
    <w:rsid w:val="00D149EA"/>
    <w:rsid w:val="00D151BF"/>
    <w:rsid w:val="00D32780"/>
    <w:rsid w:val="00D55CF6"/>
    <w:rsid w:val="00D9703C"/>
    <w:rsid w:val="00DA2F2F"/>
    <w:rsid w:val="00DB72DB"/>
    <w:rsid w:val="00DD5BC0"/>
    <w:rsid w:val="00DE7FEB"/>
    <w:rsid w:val="00DF35F3"/>
    <w:rsid w:val="00E13B29"/>
    <w:rsid w:val="00E33D60"/>
    <w:rsid w:val="00E42EAE"/>
    <w:rsid w:val="00E459A9"/>
    <w:rsid w:val="00E90BD6"/>
    <w:rsid w:val="00EC6268"/>
    <w:rsid w:val="00F121C3"/>
    <w:rsid w:val="00FC73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174A128"/>
  <w15:chartTrackingRefBased/>
  <w15:docId w15:val="{6D71FAEA-75D2-4F3C-9579-C0FF6BFC4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211311"/>
    <w:pPr>
      <w:spacing w:after="0" w:line="240" w:lineRule="auto"/>
    </w:pPr>
  </w:style>
  <w:style w:type="paragraph" w:styleId="ListParagraph">
    <w:name w:val="List Paragraph"/>
    <w:basedOn w:val="Normal"/>
    <w:uiPriority w:val="34"/>
    <w:qFormat/>
    <w:rsid w:val="00DB72DB"/>
    <w:pPr>
      <w:ind w:left="720"/>
      <w:contextualSpacing/>
    </w:pPr>
  </w:style>
  <w:style w:type="character" w:styleId="CommentReference">
    <w:name w:val="annotation reference"/>
    <w:basedOn w:val="DefaultParagraphFont"/>
    <w:uiPriority w:val="99"/>
    <w:semiHidden/>
    <w:unhideWhenUsed/>
    <w:rsid w:val="00406417"/>
    <w:rPr>
      <w:sz w:val="16"/>
      <w:szCs w:val="16"/>
    </w:rPr>
  </w:style>
  <w:style w:type="paragraph" w:styleId="CommentText">
    <w:name w:val="annotation text"/>
    <w:basedOn w:val="Normal"/>
    <w:link w:val="CommentTextChar"/>
    <w:uiPriority w:val="99"/>
    <w:unhideWhenUsed/>
    <w:rsid w:val="00406417"/>
    <w:pPr>
      <w:spacing w:line="240" w:lineRule="auto"/>
    </w:pPr>
    <w:rPr>
      <w:sz w:val="20"/>
      <w:szCs w:val="20"/>
    </w:rPr>
  </w:style>
  <w:style w:type="character" w:customStyle="1" w:styleId="CommentTextChar">
    <w:name w:val="Comment Text Char"/>
    <w:basedOn w:val="DefaultParagraphFont"/>
    <w:link w:val="CommentText"/>
    <w:uiPriority w:val="99"/>
    <w:rsid w:val="00406417"/>
    <w:rPr>
      <w:sz w:val="20"/>
      <w:szCs w:val="20"/>
    </w:rPr>
  </w:style>
  <w:style w:type="paragraph" w:styleId="CommentSubject">
    <w:name w:val="annotation subject"/>
    <w:basedOn w:val="CommentText"/>
    <w:next w:val="CommentText"/>
    <w:link w:val="CommentSubjectChar"/>
    <w:uiPriority w:val="99"/>
    <w:semiHidden/>
    <w:unhideWhenUsed/>
    <w:rsid w:val="00406417"/>
    <w:rPr>
      <w:b/>
      <w:bCs/>
    </w:rPr>
  </w:style>
  <w:style w:type="character" w:customStyle="1" w:styleId="CommentSubjectChar">
    <w:name w:val="Comment Subject Char"/>
    <w:basedOn w:val="CommentTextChar"/>
    <w:link w:val="CommentSubject"/>
    <w:uiPriority w:val="99"/>
    <w:semiHidden/>
    <w:rsid w:val="00406417"/>
    <w:rPr>
      <w:b/>
      <w:bCs/>
      <w:sz w:val="20"/>
      <w:szCs w:val="20"/>
    </w:rPr>
  </w:style>
  <w:style w:type="paragraph" w:styleId="Header">
    <w:name w:val="header"/>
    <w:basedOn w:val="Normal"/>
    <w:link w:val="HeaderChar"/>
    <w:uiPriority w:val="99"/>
    <w:unhideWhenUsed/>
    <w:rsid w:val="00AF34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417"/>
  </w:style>
  <w:style w:type="paragraph" w:styleId="Footer">
    <w:name w:val="footer"/>
    <w:basedOn w:val="Normal"/>
    <w:link w:val="FooterChar"/>
    <w:uiPriority w:val="99"/>
    <w:unhideWhenUsed/>
    <w:rsid w:val="00AF34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4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1F83E8DF644CB47AB873A2DEC104212" ma:contentTypeVersion="17" ma:contentTypeDescription="Create a new document." ma:contentTypeScope="" ma:versionID="0eb88bedf4287cca7c6d78667793297a">
  <xsd:schema xmlns:xsd="http://www.w3.org/2001/XMLSchema" xmlns:xs="http://www.w3.org/2001/XMLSchema" xmlns:p="http://schemas.microsoft.com/office/2006/metadata/properties" xmlns:ns2="82d96f02-7acb-4779-b0b8-7695df3df8b8" xmlns:ns3="c861e278-6d86-487d-bcd2-8d95090112f8" targetNamespace="http://schemas.microsoft.com/office/2006/metadata/properties" ma:root="true" ma:fieldsID="20d84acbd51a8746ececde3cc65198f0" ns2:_="" ns3:_="">
    <xsd:import namespace="82d96f02-7acb-4779-b0b8-7695df3df8b8"/>
    <xsd:import namespace="c861e278-6d86-487d-bcd2-8d95090112f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DateTaken"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d96f02-7acb-4779-b0b8-7695df3df8b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0" nillable="true" ma:displayName="Taxonomy Catch All Column" ma:hidden="true" ma:list="{cc992dc0-cd9b-4923-a530-98a8fd43ccec}" ma:internalName="TaxCatchAll" ma:showField="CatchAllData" ma:web="82d96f02-7acb-4779-b0b8-7695df3df8b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861e278-6d86-487d-bcd2-8d95090112f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b5b0f34-786c-453f-ab22-b0087f700cc3"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861e278-6d86-487d-bcd2-8d95090112f8">
      <Terms xmlns="http://schemas.microsoft.com/office/infopath/2007/PartnerControls"/>
    </lcf76f155ced4ddcb4097134ff3c332f>
    <TaxCatchAll xmlns="82d96f02-7acb-4779-b0b8-7695df3df8b8"/>
  </documentManagement>
</p:properties>
</file>

<file path=customXml/itemProps1.xml><?xml version="1.0" encoding="utf-8"?>
<ds:datastoreItem xmlns:ds="http://schemas.openxmlformats.org/officeDocument/2006/customXml" ds:itemID="{6093F95D-0034-42D0-BAEE-DD77FF0D41FA}">
  <ds:schemaRefs>
    <ds:schemaRef ds:uri="http://schemas.microsoft.com/sharepoint/v3/contenttype/forms"/>
  </ds:schemaRefs>
</ds:datastoreItem>
</file>

<file path=customXml/itemProps2.xml><?xml version="1.0" encoding="utf-8"?>
<ds:datastoreItem xmlns:ds="http://schemas.openxmlformats.org/officeDocument/2006/customXml" ds:itemID="{39EDD18A-3150-4C95-BACB-785C024779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d96f02-7acb-4779-b0b8-7695df3df8b8"/>
    <ds:schemaRef ds:uri="c861e278-6d86-487d-bcd2-8d95090112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5FEB86-9254-4496-8D93-942BFF66F3E4}">
  <ds:schemaRefs>
    <ds:schemaRef ds:uri="http://purl.org/dc/terms/"/>
    <ds:schemaRef ds:uri="http://schemas.openxmlformats.org/package/2006/metadata/core-properties"/>
    <ds:schemaRef ds:uri="82d96f02-7acb-4779-b0b8-7695df3df8b8"/>
    <ds:schemaRef ds:uri="http://schemas.microsoft.com/office/2006/documentManagement/types"/>
    <ds:schemaRef ds:uri="http://schemas.microsoft.com/office/infopath/2007/PartnerControls"/>
    <ds:schemaRef ds:uri="http://purl.org/dc/elements/1.1/"/>
    <ds:schemaRef ds:uri="http://schemas.microsoft.com/office/2006/metadata/properties"/>
    <ds:schemaRef ds:uri="c861e278-6d86-487d-bcd2-8d95090112f8"/>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992</Words>
  <Characters>5657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Shuman, Andrew G.</dc:creator>
  <cp:keywords/>
  <dc:description/>
  <cp:lastModifiedBy>Holman, Lisa</cp:lastModifiedBy>
  <cp:revision>2</cp:revision>
  <cp:lastPrinted>2023-10-30T22:20:00Z</cp:lastPrinted>
  <dcterms:created xsi:type="dcterms:W3CDTF">2024-10-08T19:57:00Z</dcterms:created>
  <dcterms:modified xsi:type="dcterms:W3CDTF">2024-10-08T19:57:00Z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1e8f60ebd1eb52abe115d59d2b5a883dffb971127c437ede707d5415b408b130</vt:lpwstr>
  </property>
  <property fmtid="{D5CDD505-2E9C-101B-9397-08002B2CF9AE}" pid="3" name="ContentTypeId">
    <vt:lpwstr>0x010100E1F83E8DF644CB47AB873A2DEC104212</vt:lpwstr>
  </property>
</Properties>
</file>